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44" w:rsidRDefault="00566844">
      <w:pPr>
        <w:pStyle w:val="ConsPlusTitle"/>
        <w:ind w:firstLine="540"/>
        <w:jc w:val="both"/>
        <w:outlineLvl w:val="0"/>
      </w:pPr>
      <w:r>
        <w:t>Статья 378.2. Особенности определения налоговой базы, исчисления и уплаты налога в отношении отдельных объектов недвижимого имущества</w:t>
      </w:r>
    </w:p>
    <w:p w:rsidR="00566844" w:rsidRDefault="00566844">
      <w:pPr>
        <w:pStyle w:val="ConsPlusNormal"/>
        <w:ind w:firstLine="540"/>
        <w:jc w:val="both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02.11.2013 N 307-ФЗ)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1. Налоговая база определяется с учетом особенностей, установленных настоящей статьей, как кадастровая стоимость имущества в отношении следующих видов недвижимого имущества, признаваемого объектом налогообложения: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0" w:name="P4"/>
      <w:bookmarkEnd w:id="0"/>
      <w:r>
        <w:t>1) административно-деловые центры и торговые центры (комплексы) и помещения в них;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1" w:name="P5"/>
      <w:bookmarkEnd w:id="1"/>
      <w: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2" w:name="P7"/>
      <w:bookmarkEnd w:id="2"/>
      <w:r>
        <w:t xml:space="preserve">3) объекты недвижимого имущества иностранных организаций, не осуществляющих деятельности в Российской Федерации через </w:t>
      </w:r>
      <w:hyperlink r:id="rId7" w:history="1">
        <w:r>
          <w:rPr>
            <w:color w:val="0000FF"/>
          </w:rPr>
          <w:t>постоянные представительства</w:t>
        </w:r>
      </w:hyperlink>
      <w:r>
        <w:t>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3" w:name="P8"/>
      <w:bookmarkEnd w:id="3"/>
      <w:r>
        <w:t xml:space="preserve">4) жилые помещения, </w:t>
      </w:r>
      <w:hyperlink r:id="rId8" w:history="1">
        <w:r>
          <w:rPr>
            <w:color w:val="0000FF"/>
          </w:rPr>
          <w:t>гаражи</w:t>
        </w:r>
      </w:hyperlink>
      <w:r>
        <w:t>, машино-места,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566844" w:rsidRDefault="00566844">
      <w:pPr>
        <w:pStyle w:val="ConsPlusNormal"/>
        <w:jc w:val="both"/>
      </w:pPr>
      <w:r>
        <w:t xml:space="preserve">(пп. 4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28.11.2019 N 379-ФЗ)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2. Закон субъекта Российской Федерации, устанавливающий особенности определения налоговой базы исходя из кадастровой стоимости объектов недвижимого имущества, указанных в </w:t>
      </w:r>
      <w:hyperlink w:anchor="P4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5" w:history="1">
        <w:r>
          <w:rPr>
            <w:color w:val="0000FF"/>
          </w:rPr>
          <w:t>2</w:t>
        </w:r>
      </w:hyperlink>
      <w:r>
        <w:t xml:space="preserve"> и </w:t>
      </w:r>
      <w:hyperlink w:anchor="P8" w:history="1">
        <w:r>
          <w:rPr>
            <w:color w:val="0000FF"/>
          </w:rPr>
          <w:t>4 пункта 1</w:t>
        </w:r>
      </w:hyperlink>
      <w:r>
        <w:t xml:space="preserve"> настоящей статьи, может быть принят только после утверждения субъектом Российской Федерации в установленном порядке результатов определения кадастровой стоимости объектов недвижимого имущества.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04.10.2014 N 284-ФЗ)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После принятия закона, указанного в настоящем пункте, переход к определению налоговой базы в отношении объектов недвижимого имущества, указанных в </w:t>
      </w:r>
      <w:hyperlink w:anchor="P4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5" w:history="1">
        <w:r>
          <w:rPr>
            <w:color w:val="0000FF"/>
          </w:rPr>
          <w:t>2</w:t>
        </w:r>
      </w:hyperlink>
      <w:r>
        <w:t xml:space="preserve"> и </w:t>
      </w:r>
      <w:hyperlink w:anchor="P8" w:history="1">
        <w:r>
          <w:rPr>
            <w:color w:val="0000FF"/>
          </w:rPr>
          <w:t>4 пункта 1</w:t>
        </w:r>
      </w:hyperlink>
      <w:r>
        <w:t xml:space="preserve"> настоящей статьи, как их среднегодовой стоимости не допускается, за исключением случаев, предусмотренных </w:t>
      </w:r>
      <w:hyperlink w:anchor="P54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58" w:history="1">
        <w:r>
          <w:rPr>
            <w:color w:val="0000FF"/>
          </w:rPr>
          <w:t>2.2 пункта 12</w:t>
        </w:r>
      </w:hyperlink>
      <w:r>
        <w:t xml:space="preserve"> настоящей статьи.</w:t>
      </w:r>
    </w:p>
    <w:p w:rsidR="00566844" w:rsidRDefault="00566844">
      <w:pPr>
        <w:pStyle w:val="ConsPlusNormal"/>
        <w:jc w:val="both"/>
      </w:pPr>
      <w:r>
        <w:t xml:space="preserve">(в ред. Федеральных законов от 04.10.2014 </w:t>
      </w:r>
      <w:hyperlink r:id="rId11" w:history="1">
        <w:r>
          <w:rPr>
            <w:color w:val="0000FF"/>
          </w:rPr>
          <w:t>N 284-ФЗ</w:t>
        </w:r>
      </w:hyperlink>
      <w:r>
        <w:t xml:space="preserve">, от 23.11.2020 </w:t>
      </w:r>
      <w:hyperlink r:id="rId12" w:history="1">
        <w:r>
          <w:rPr>
            <w:color w:val="0000FF"/>
          </w:rPr>
          <w:t>N 374-ФЗ</w:t>
        </w:r>
      </w:hyperlink>
      <w:r>
        <w:t>)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4" w:name="P14"/>
      <w:bookmarkEnd w:id="4"/>
      <w:r>
        <w:t>3. В целях настоящей статьи административно-деловым центром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хотя бы одному из следующих условий: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1) здание (строение, сооружение) расположено на земельном участке, один из видов разрешенного использования которого предусматривает размещение офисных зданий делового, административного и коммерческого назначения;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2) здание (строение, сооружение) предназначено для использования или фактически используется в целях делового, административного или коммерческого назначения. При этом: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здание (строение, сооружение) признается предназначенным для использования в целях делового, административного или коммерческого назначения, если назначение, разрешенное </w:t>
      </w:r>
      <w:r>
        <w:lastRenderedPageBreak/>
        <w:t>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парковки);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фактическим использованием здания (строения, сооружения) в целях делового, административного или коммерческого назначения признается использование не менее 20 процентов его общей площади для размещения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парковки).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5" w:name="P20"/>
      <w:bookmarkEnd w:id="5"/>
      <w:r>
        <w:t>4. В целях настоящей статьи торговым центром (комплексом)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хотя бы одному из следующих условий: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1) здание (строение, сооружение) расположено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2) здание (строение, сооружение)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4.1. В целях настоящей статьи отдельно стоящее нежилое здание (строение, сооружение), помещения в котором принадлежат одному или нескольким собственникам, признается одновременно как административно-деловой центр, так и торговый центр (комплекс), если такое здание (строение, сооружение) предназначено для использования или фактически используется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В целях настоящего пункта: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здание (строение, сооружение) признается предназначенным для использования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</w:t>
      </w:r>
      <w:r>
        <w:lastRenderedPageBreak/>
        <w:t>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парковки), торговых объектов, объектов общественного питания и (или) объектов бытового обслуживания;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фактическим использованием здания (строения, сооружения)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общей площади этого здания (строения, сооружения) для размещения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парковки), торговых объектов, объектов общественного питания и (или) объектов бытового обслуживания.</w:t>
      </w:r>
    </w:p>
    <w:p w:rsidR="00566844" w:rsidRDefault="00566844">
      <w:pPr>
        <w:pStyle w:val="ConsPlusNormal"/>
        <w:jc w:val="both"/>
      </w:pPr>
      <w:r>
        <w:t xml:space="preserve">(п. 4.1 введен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04.11.2014 N 347-ФЗ)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6" w:name="P32"/>
      <w:bookmarkEnd w:id="6"/>
      <w:r>
        <w:t>5. В целях настоящей статьи фактическим использованием нежилого помещения для размещения офисов,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офисов, торговых объектов, объектов общественного питания и (или) объектов бытового обслуживания.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6. В случае, если в соответствии с законодательством Российской Федерации определена кадастровая стоимость здания, в котором расположено помещение, являющееся объектом налогообложения, но при этом кадастровая стоимость такого помещения не определена, налоговая база в отношении этого помещения определяется как доля кадастровой стоимости здания, в котором находится помещение, соответствующая доле, которую составляет площадь помещения в общей площади здания.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7. Уполномоченный орган исполнительной власти субъекта Российской Федерации не позднее 1-го числа очередного налогового периода по налогу: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1) определяет на этот налоговый период перечень объектов недвижимого имущества, указанных в </w:t>
      </w:r>
      <w:hyperlink w:anchor="P4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5" w:history="1">
        <w:r>
          <w:rPr>
            <w:color w:val="0000FF"/>
          </w:rPr>
          <w:t>2 пункта 1</w:t>
        </w:r>
      </w:hyperlink>
      <w:r>
        <w:t xml:space="preserve"> настоящей статьи, в отношении которых налоговая база определяется как кадастровая стоимость (далее в настоящей статье - перечень);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2) направляет перечень в электронной форме в налоговый орган по субъекту Российской Федерации;</w:t>
      </w:r>
    </w:p>
    <w:p w:rsidR="00566844" w:rsidRDefault="00566844">
      <w:pPr>
        <w:pStyle w:val="ConsPlusNormal"/>
        <w:jc w:val="both"/>
      </w:pPr>
      <w:r>
        <w:t xml:space="preserve">(пп. 2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04.11.2014 N 347-ФЗ)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3) размещает перечень на своем официальном сайте или на официальном сайте субъекта Российской Федерации в информационно-телекоммуникационной сети "Интернет".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7.1. Уполномоченный орган исполнительной власти субъекта Российской Федерации в течение пяти дней со дня внесения изменений в перечень направляет указанные изменения в электронной форме в налоговый орган по субъекту Российской Федерации и размещает их на своем официальном сайте или на официальном сайте субъекта Российской Федерации в информационно-телекоммуникационной сети "Интернет".</w:t>
      </w:r>
    </w:p>
    <w:p w:rsidR="00566844" w:rsidRDefault="00566844">
      <w:pPr>
        <w:pStyle w:val="ConsPlusNormal"/>
        <w:jc w:val="both"/>
      </w:pPr>
      <w:r>
        <w:t xml:space="preserve">(п. 7.1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02.07.2021 N 305-ФЗ)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8. </w:t>
      </w:r>
      <w:hyperlink r:id="rId19" w:history="1">
        <w:r>
          <w:rPr>
            <w:color w:val="0000FF"/>
          </w:rPr>
          <w:t>Состав сведений</w:t>
        </w:r>
      </w:hyperlink>
      <w:r>
        <w:t xml:space="preserve">, подлежащих включению в перечень, </w:t>
      </w:r>
      <w:hyperlink r:id="rId20" w:history="1">
        <w:r>
          <w:rPr>
            <w:color w:val="0000FF"/>
          </w:rPr>
          <w:t>формат</w:t>
        </w:r>
      </w:hyperlink>
      <w:r>
        <w:t xml:space="preserve"> и </w:t>
      </w:r>
      <w:hyperlink r:id="rId21" w:history="1">
        <w:r>
          <w:rPr>
            <w:color w:val="0000FF"/>
          </w:rPr>
          <w:t>порядок</w:t>
        </w:r>
      </w:hyperlink>
      <w:r>
        <w:t xml:space="preserve"> их направления в электронной форме в налоговый орган по субъекту Российской Федерации определяются федеральным органом исполнительной власти, уполномоченным по контролю и надзору в сфере </w:t>
      </w:r>
      <w:r>
        <w:lastRenderedPageBreak/>
        <w:t>налогов и сборов.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04.11.2014 N 347-ФЗ)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9. Вид фактического использования зданий (строений, сооружений) и помещений определяется уполномоченным органом исполнительной власти субъекта Российской Федерации в соответствии с порядком определения вида фактического использования зданий (строений, сооружений) и помещений, устанавливаемым с учетом положений </w:t>
      </w:r>
      <w:hyperlink w:anchor="P14" w:history="1">
        <w:r>
          <w:rPr>
            <w:color w:val="0000FF"/>
          </w:rPr>
          <w:t>пунктов 3</w:t>
        </w:r>
      </w:hyperlink>
      <w:r>
        <w:t xml:space="preserve">, </w:t>
      </w:r>
      <w:hyperlink w:anchor="P20" w:history="1">
        <w:r>
          <w:rPr>
            <w:color w:val="0000FF"/>
          </w:rPr>
          <w:t>4</w:t>
        </w:r>
      </w:hyperlink>
      <w:r>
        <w:t xml:space="preserve">, </w:t>
      </w:r>
      <w:hyperlink w:anchor="P32" w:history="1">
        <w:r>
          <w:rPr>
            <w:color w:val="0000FF"/>
          </w:rPr>
          <w:t>5</w:t>
        </w:r>
      </w:hyperlink>
      <w:r>
        <w:t xml:space="preserve"> настоящей статьи высшим исполнительным органом государственной власти субъекта Российской Федерации.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03.07.2016 N 242-ФЗ)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10. Выявленные в течение налогового периода объекты недвижимого имущества, указанные в </w:t>
      </w:r>
      <w:hyperlink w:anchor="P4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5" w:history="1">
        <w:r>
          <w:rPr>
            <w:color w:val="0000FF"/>
          </w:rPr>
          <w:t>2 пункта 1</w:t>
        </w:r>
      </w:hyperlink>
      <w:r>
        <w:t xml:space="preserve"> настоящей статьи, не включенные в перечень по состоянию на 1 января года налогового периода, подлежат включению в перечень, определяемый уполномоченным органом исполнительной власти субъекта Российской Федерации на очередной налоговый период, если иное не установлено настоящим пунктом.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02.04.2014 N 52-ФЗ)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В случае,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налогового периода, указанный вновь образованный объект недвижимого имущества при условии соответствия его критериям, предусмотренным настоящей статьей, до включения его в перечень подлежит налогообложению по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566844" w:rsidRDefault="00566844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02.04.2014 N 52-ФЗ (ред. 24.11.2014);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11. Лицо, ведущее учет общего имущества товарищей, обязано для целей налогообложения сообщать не позднее 20-го числа месяца, следующего за отчетным периодом, каждому участнику договора простого товарищества (договора о совместной деятельности), договора инвестиционного товарищества помимо сведений, предусмотренных </w:t>
      </w:r>
      <w:hyperlink r:id="rId27" w:history="1">
        <w:r>
          <w:rPr>
            <w:color w:val="0000FF"/>
          </w:rPr>
          <w:t>статьей 377</w:t>
        </w:r>
      </w:hyperlink>
      <w:r>
        <w:t xml:space="preserve"> настоящего Кодекса, сведения о кадастровой стоимости недвижимого имущества, составляющего общее имущество товарищей.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15.04.2019 N 63-ФЗ)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12. Исчисление суммы налога и сумм авансовых платежей по налогу в отношении имущества, в отношении которого налоговая база определяется как его кадастровая стоимость, осуществляется в порядке, предусмотренном </w:t>
      </w:r>
      <w:hyperlink r:id="rId29" w:history="1">
        <w:r>
          <w:rPr>
            <w:color w:val="0000FF"/>
          </w:rPr>
          <w:t>статьей 382</w:t>
        </w:r>
      </w:hyperlink>
      <w:r>
        <w:t xml:space="preserve"> настоящего Кодекса, с учетом следующих особенностей: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1) сумма авансового платежа по налогу исчисляется по истечении отчетного периода как одна четвертая кадастровой стоимости объекта недвижимого имущества, умноженная на соответствующую налоговую ставку;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15.04.2019 N 63-ФЗ)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7" w:name="P54"/>
      <w:bookmarkEnd w:id="7"/>
      <w:r>
        <w:t xml:space="preserve">2) в случае, если кадастровая стоимость объекта недвижимого имущества, указанного в </w:t>
      </w:r>
      <w:hyperlink w:anchor="P4" w:history="1">
        <w:r>
          <w:rPr>
            <w:color w:val="0000FF"/>
          </w:rPr>
          <w:t>подпункте 1</w:t>
        </w:r>
      </w:hyperlink>
      <w:r>
        <w:t xml:space="preserve"> или </w:t>
      </w:r>
      <w:hyperlink w:anchor="P5" w:history="1">
        <w:r>
          <w:rPr>
            <w:color w:val="0000FF"/>
          </w:rPr>
          <w:t>2 пункта 1</w:t>
        </w:r>
      </w:hyperlink>
      <w:r>
        <w:t xml:space="preserve"> настоящей статьи, была определена в соответствии с законодательством Российской Федерации в течение налогового (отчетного) периода и (или) указанный объект недвижимого имущества не включен в перечень по состоянию на 1 января года налогового периода,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в порядке, предусмотренном настоящей главой, без учета положений настоящей статьи;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30.11.2016 N 401-ФЗ)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lastRenderedPageBreak/>
        <w:t xml:space="preserve">2.1) в случае, если кадастровая стоимость объекта недвижимого имущества, указанного в </w:t>
      </w:r>
      <w:hyperlink w:anchor="P7" w:history="1">
        <w:r>
          <w:rPr>
            <w:color w:val="0000FF"/>
          </w:rPr>
          <w:t>подпункте 3</w:t>
        </w:r>
      </w:hyperlink>
      <w:r>
        <w:t xml:space="preserve"> или </w:t>
      </w:r>
      <w:hyperlink w:anchor="P8" w:history="1">
        <w:r>
          <w:rPr>
            <w:color w:val="0000FF"/>
          </w:rPr>
          <w:t>4 пункта 1</w:t>
        </w:r>
      </w:hyperlink>
      <w:r>
        <w:t xml:space="preserve"> настоящей статьи, была определена в соответствии с законодательством Российской Федерации в течение налогового (отчетного) периода,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исходя из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объекта;</w:t>
      </w:r>
    </w:p>
    <w:p w:rsidR="00566844" w:rsidRDefault="00566844">
      <w:pPr>
        <w:pStyle w:val="ConsPlusNormal"/>
        <w:jc w:val="both"/>
      </w:pPr>
      <w:r>
        <w:t xml:space="preserve">(пп. 2.1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30.09.2017 N 286-ФЗ)</w:t>
      </w:r>
    </w:p>
    <w:p w:rsidR="00566844" w:rsidRDefault="00566844">
      <w:pPr>
        <w:pStyle w:val="ConsPlusNormal"/>
        <w:spacing w:before="220"/>
        <w:ind w:firstLine="540"/>
        <w:jc w:val="both"/>
      </w:pPr>
      <w:bookmarkStart w:id="8" w:name="P58"/>
      <w:bookmarkEnd w:id="8"/>
      <w:r>
        <w:t xml:space="preserve">2.2) в случае, если кадастровая стоимость объектов недвижимого имущества, указанных в </w:t>
      </w:r>
      <w:hyperlink w:anchor="P4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5" w:history="1">
        <w:r>
          <w:rPr>
            <w:color w:val="0000FF"/>
          </w:rPr>
          <w:t>2</w:t>
        </w:r>
      </w:hyperlink>
      <w:r>
        <w:t xml:space="preserve"> и </w:t>
      </w:r>
      <w:hyperlink w:anchor="P8" w:history="1">
        <w:r>
          <w:rPr>
            <w:color w:val="0000FF"/>
          </w:rPr>
          <w:t>4 пункта 1</w:t>
        </w:r>
      </w:hyperlink>
      <w:r>
        <w:t xml:space="preserve"> настоящей статьи, не определена, определение налоговой базы и исчисление суммы налога (суммы авансового платежа по налогу) по текущему налоговому периоду в отношении данных объектов недвижимого имущества осуществляются в </w:t>
      </w:r>
      <w:hyperlink r:id="rId33" w:history="1">
        <w:r>
          <w:rPr>
            <w:color w:val="0000FF"/>
          </w:rPr>
          <w:t>порядке</w:t>
        </w:r>
      </w:hyperlink>
      <w:r>
        <w:t>, предусмотренном настоящей главой без учета положений настоящей статьи;</w:t>
      </w:r>
    </w:p>
    <w:p w:rsidR="00566844" w:rsidRDefault="00566844">
      <w:pPr>
        <w:pStyle w:val="ConsPlusNormal"/>
        <w:jc w:val="both"/>
      </w:pPr>
      <w:r>
        <w:t xml:space="preserve">(пп. 2.2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29.09.2019 N 325-ФЗ;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23.11.2020 N 374-ФЗ)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3) утратил силу с 1 января 2020 года.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29.09.2019 N 325-ФЗ;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4) в отношении объекта недвижимого имущества, находящегося в общей долевой собственности, сумма налога (сумма авансового платежа по налогу) исчисляется для каждого из участников долевой собственности пропорционально его доле в праве общей собственности на такой объект недвижимого имущества. В случае изменения в течение налогового периода доли налогоплательщика в праве общей собственности на объект недвижимого имущества сумма налога (сумма авансового платежа по налогу) исчисляется с учетом коэффициента, определяемого в соответствии с </w:t>
      </w:r>
      <w:hyperlink r:id="rId37" w:history="1">
        <w:r>
          <w:rPr>
            <w:color w:val="0000FF"/>
          </w:rPr>
          <w:t>пунктом 5 статьи 382</w:t>
        </w:r>
      </w:hyperlink>
      <w:r>
        <w:t xml:space="preserve"> настоящего Кодекса.</w:t>
      </w:r>
    </w:p>
    <w:p w:rsidR="00566844" w:rsidRDefault="00566844">
      <w:pPr>
        <w:pStyle w:val="ConsPlusNormal"/>
        <w:jc w:val="both"/>
      </w:pPr>
      <w:r>
        <w:t xml:space="preserve">(пп. 4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02.07.2021 N 305-ФЗ)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13. Организация в отношении объектов недвижимого имущества, налоговая база в отношении которых определяется как кадастровая стоимость, уплачивает налог (авансовые платежи по налогу) в бюджет по месту нахождения каждого из указанных объектов недвижимого имущества в сумме, определяемой как произведение налоговой ставки, действующей на территории соответствующего субъекта Российской Федерации, на которой расположены эти объекты недвижимого имущества, и кадастровой стоимости (одной четвертой кадастровой стоимости) этого имущества.</w:t>
      </w:r>
    </w:p>
    <w:p w:rsidR="00566844" w:rsidRDefault="00566844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02.04.2014 N 52-ФЗ)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 xml:space="preserve">14. В случае, если в отношении объектов недвижимого имущества, указанных в </w:t>
      </w:r>
      <w:hyperlink w:anchor="P7" w:history="1">
        <w:r>
          <w:rPr>
            <w:color w:val="0000FF"/>
          </w:rPr>
          <w:t>подпункте 3 пункта 1</w:t>
        </w:r>
      </w:hyperlink>
      <w:r>
        <w:t xml:space="preserve"> настоящей статьи, кадастровая стоимость не определена, в отношении указанных объектов недвижимого имущества налоговая база принимается равной нулю.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15. 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566844" w:rsidRDefault="00566844">
      <w:pPr>
        <w:pStyle w:val="ConsPlusNormal"/>
        <w:spacing w:before="220"/>
        <w:ind w:firstLine="540"/>
        <w:jc w:val="both"/>
      </w:pPr>
      <w: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566844" w:rsidRDefault="00566844">
      <w:pPr>
        <w:pStyle w:val="ConsPlusNormal"/>
        <w:jc w:val="both"/>
      </w:pPr>
      <w:r>
        <w:t xml:space="preserve">(п. 15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23.11.2020 N 374-ФЗ)</w:t>
      </w:r>
    </w:p>
    <w:p w:rsidR="00566844" w:rsidRDefault="00566844">
      <w:pPr>
        <w:pStyle w:val="ConsPlusNormal"/>
      </w:pPr>
      <w:hyperlink r:id="rId41" w:history="1">
        <w:r>
          <w:rPr>
            <w:i/>
            <w:color w:val="0000FF"/>
          </w:rPr>
          <w:br/>
          <w:t>ст. 378.2, "Налоговый кодекс Российской Федерации (часть вторая)" от 05.08.2000 N 117-ФЗ (ред. от 29.11.2021) {КонсультантПлюс}</w:t>
        </w:r>
      </w:hyperlink>
      <w:r>
        <w:br/>
      </w:r>
    </w:p>
    <w:p w:rsidR="00870158" w:rsidRDefault="00870158">
      <w:bookmarkStart w:id="9" w:name="_GoBack"/>
      <w:bookmarkEnd w:id="9"/>
    </w:p>
    <w:sectPr w:rsidR="00870158" w:rsidSect="001B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4"/>
    <w:rsid w:val="00566844"/>
    <w:rsid w:val="008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05F9-A4F0-48A4-87B9-05EAADC2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E7ED881B1B4F69134FDACA9D3E81E472F13E8E82D7520B99EC1CE203AEFF8590DB688C4FB7D8CA6B19AFC1BD6U7H" TargetMode="External"/><Relationship Id="rId13" Type="http://schemas.openxmlformats.org/officeDocument/2006/relationships/hyperlink" Target="consultantplus://offline/ref=313E7ED881B1B4F69134FDACA9D3E81E472E19EBEF2A7520B99EC1CE203AEFF84B0DEE84C6FF668BA2A4CCAD5D3088FE245FB9400B74DAAFD5U2H" TargetMode="External"/><Relationship Id="rId18" Type="http://schemas.openxmlformats.org/officeDocument/2006/relationships/hyperlink" Target="consultantplus://offline/ref=313E7ED881B1B4F69134FDACA9D3E81E472E18E0E2297520B99EC1CE203AEFF84B0DEE84C6FF6688A3A4CCAD5D3088FE245FB9400B74DAAFD5U2H" TargetMode="External"/><Relationship Id="rId26" Type="http://schemas.openxmlformats.org/officeDocument/2006/relationships/hyperlink" Target="consultantplus://offline/ref=313E7ED881B1B4F69134FDACA9D3E81E472E19EBEF2A7520B99EC1CE203AEFF84B0DEE84C6FF668BAFA4CCAD5D3088FE245FB9400B74DAAFD5U2H" TargetMode="External"/><Relationship Id="rId39" Type="http://schemas.openxmlformats.org/officeDocument/2006/relationships/hyperlink" Target="consultantplus://offline/ref=313E7ED881B1B4F69134FDACA9D3E81E472E19EBEE287520B99EC1CE203AEFF84B0DEE84C6FF6384A0A4CCAD5D3088FE245FB9400B74DAAFD5U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3E7ED881B1B4F69134FDACA9D3E81E472318ECEE287520B99EC1CE203AEFF84B0DEE84C6FF618AAEA4CCAD5D3088FE245FB9400B74DAAFD5U2H" TargetMode="External"/><Relationship Id="rId34" Type="http://schemas.openxmlformats.org/officeDocument/2006/relationships/hyperlink" Target="consultantplus://offline/ref=313E7ED881B1B4F69134FDACA9D3E81E472E19EBEF287520B99EC1CE203AEFF84B0DEE84C6FF658BA7A4CCAD5D3088FE245FB9400B74DAAFD5U2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13E7ED881B1B4F69134FDACA9D3E81E472117ECEA2F7520B99EC1CE203AEFF84B0DEE84C6FD6A8FA4A4CCAD5D3088FE245FB9400B74DAAFD5U2H" TargetMode="External"/><Relationship Id="rId12" Type="http://schemas.openxmlformats.org/officeDocument/2006/relationships/hyperlink" Target="consultantplus://offline/ref=313E7ED881B1B4F69134FDACA9D3E81E472112E1E32A7520B99EC1CE203AEFF84B0DEE84C6FF608FA6A4CCAD5D3088FE245FB9400B74DAAFD5U2H" TargetMode="External"/><Relationship Id="rId17" Type="http://schemas.openxmlformats.org/officeDocument/2006/relationships/hyperlink" Target="consultantplus://offline/ref=313E7ED881B1B4F69134FDACA9D3E81E452111EAEE2D7520B99EC1CE203AEFF84B0DEE84C6FF6288A3A4CCAD5D3088FE245FB9400B74DAAFD5U2H" TargetMode="External"/><Relationship Id="rId25" Type="http://schemas.openxmlformats.org/officeDocument/2006/relationships/hyperlink" Target="consultantplus://offline/ref=313E7ED881B1B4F69134FDACA9D3E81E472E19EBEE287520B99EC1CE203AEFF84B0DEE84C6FF6384A4A4CCAD5D3088FE245FB9400B74DAAFD5U2H" TargetMode="External"/><Relationship Id="rId33" Type="http://schemas.openxmlformats.org/officeDocument/2006/relationships/hyperlink" Target="consultantplus://offline/ref=313E7ED881B1B4F69134FDACA9D3E81E472117ECEA2F7520B99EC1CE203AEFF84B0DEE87C4FA68D8F6EBCDF11B619BFC215FBB4117D7U4H" TargetMode="External"/><Relationship Id="rId38" Type="http://schemas.openxmlformats.org/officeDocument/2006/relationships/hyperlink" Target="consultantplus://offline/ref=313E7ED881B1B4F69134FDACA9D3E81E472E18E0E2297520B99EC1CE203AEFF84B0DEE84C6FF6688A1A4CCAD5D3088FE245FB9400B74DAAFD5U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3E7ED881B1B4F69134FDACA9D3E81E452111EAEE2D7520B99EC1CE203AEFF84B0DEE84C6FF628FAEA4CCAD5D3088FE245FB9400B74DAAFD5U2H" TargetMode="External"/><Relationship Id="rId20" Type="http://schemas.openxmlformats.org/officeDocument/2006/relationships/hyperlink" Target="consultantplus://offline/ref=313E7ED881B1B4F69134FDACA9D3E81E472318ECEE287520B99EC1CE203AEFF84B0DEE84C6FF638EA0A4CCAD5D3088FE245FB9400B74DAAFD5U2H" TargetMode="External"/><Relationship Id="rId29" Type="http://schemas.openxmlformats.org/officeDocument/2006/relationships/hyperlink" Target="consultantplus://offline/ref=313E7ED881B1B4F69134FDACA9D3E81E472117ECEA2F7520B99EC1CE203AEFF84B0DEE87C0FF68D8F6EBCDF11B619BFC215FBB4117D7U4H" TargetMode="External"/><Relationship Id="rId41" Type="http://schemas.openxmlformats.org/officeDocument/2006/relationships/hyperlink" Target="consultantplus://offline/ref=313E7ED881B1B4F69134FDACA9D3E81E472117ECEA2F7520B99EC1CE203AEFF84B0DEE8CC4FF6387F3FEDCA9146781E22040A7431574DDU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E7ED881B1B4F69134FDACA9D3E81E472E19EBEF2A7520B99EC1CE203AEFF84B0DEE84C6FF668BA3A4CCAD5D3088FE245FB9400B74DAAFD5U2H" TargetMode="External"/><Relationship Id="rId11" Type="http://schemas.openxmlformats.org/officeDocument/2006/relationships/hyperlink" Target="consultantplus://offline/ref=313E7ED881B1B4F69134FDACA9D3E81E452019EDE9247520B99EC1CE203AEFF84B0DEE84C6FF638EA4A4CCAD5D3088FE245FB9400B74DAAFD5U2H" TargetMode="External"/><Relationship Id="rId24" Type="http://schemas.openxmlformats.org/officeDocument/2006/relationships/hyperlink" Target="consultantplus://offline/ref=313E7ED881B1B4F69134FDACA9D3E81E472E19EBEE287520B99EC1CE203AEFF84B0DEE84C6FF6384A5A4CCAD5D3088FE245FB9400B74DAAFD5U2H" TargetMode="External"/><Relationship Id="rId32" Type="http://schemas.openxmlformats.org/officeDocument/2006/relationships/hyperlink" Target="consultantplus://offline/ref=313E7ED881B1B4F69134FDACA9D3E81E462E13EEE92C7520B99EC1CE203AEFF84B0DEE84C6FF6389A7A4CCAD5D3088FE245FB9400B74DAAFD5U2H" TargetMode="External"/><Relationship Id="rId37" Type="http://schemas.openxmlformats.org/officeDocument/2006/relationships/hyperlink" Target="consultantplus://offline/ref=313E7ED881B1B4F69134FDACA9D3E81E472117ECEA2F7520B99EC1CE203AEFF84B0DEE87C7FF6589ACFBC9B84C6887F83E41B85F1776D8DAUFH" TargetMode="External"/><Relationship Id="rId40" Type="http://schemas.openxmlformats.org/officeDocument/2006/relationships/hyperlink" Target="consultantplus://offline/ref=313E7ED881B1B4F69134FDACA9D3E81E472112E1E32A7520B99EC1CE203AEFF84B0DEE84C6FF608FA4A4CCAD5D3088FE245FB9400B74DAAFD5U2H" TargetMode="External"/><Relationship Id="rId5" Type="http://schemas.openxmlformats.org/officeDocument/2006/relationships/hyperlink" Target="consultantplus://offline/ref=313E7ED881B1B4F69134FDACA9D3E81E472E19EBEF2A7520B99EC1CE203AEFF84B0DEE84C6FF668BA4A4CCAD5D3088FE245FB9400B74DAAFD5U2H" TargetMode="External"/><Relationship Id="rId15" Type="http://schemas.openxmlformats.org/officeDocument/2006/relationships/hyperlink" Target="consultantplus://offline/ref=313E7ED881B1B4F69134FDACA9D3E81E472E19EBEF2A7520B99EC1CE203AEFF84B0DEE84C6FF668BA0A4CCAD5D3088FE245FB9400B74DAAFD5U2H" TargetMode="External"/><Relationship Id="rId23" Type="http://schemas.openxmlformats.org/officeDocument/2006/relationships/hyperlink" Target="consultantplus://offline/ref=313E7ED881B1B4F69134FDACA9D3E81E462610EDE22D7520B99EC1CE203AEFF84B0DEE84C6FF6189A4A4CCAD5D3088FE245FB9400B74DAAFD5U2H" TargetMode="External"/><Relationship Id="rId28" Type="http://schemas.openxmlformats.org/officeDocument/2006/relationships/hyperlink" Target="consultantplus://offline/ref=313E7ED881B1B4F69134FDACA9D3E81E472412EDE22E7520B99EC1CE203AEFF84B0DEE84C6FF6385A5A4CCAD5D3088FE245FB9400B74DAAFD5U2H" TargetMode="External"/><Relationship Id="rId36" Type="http://schemas.openxmlformats.org/officeDocument/2006/relationships/hyperlink" Target="consultantplus://offline/ref=313E7ED881B1B4F69134FDACA9D3E81E472E19EBEF287520B99EC1CE203AEFF84B0DEE84C6FF658BA5A4CCAD5D3088FE245FB9400B74DAAFD5U2H" TargetMode="External"/><Relationship Id="rId10" Type="http://schemas.openxmlformats.org/officeDocument/2006/relationships/hyperlink" Target="consultantplus://offline/ref=313E7ED881B1B4F69134FDACA9D3E81E452019EDE9247520B99EC1CE203AEFF84B0DEE84C6FF638EA4A4CCAD5D3088FE245FB9400B74DAAFD5U2H" TargetMode="External"/><Relationship Id="rId19" Type="http://schemas.openxmlformats.org/officeDocument/2006/relationships/hyperlink" Target="consultantplus://offline/ref=313E7ED881B1B4F69134FDACA9D3E81E472318ECEE287520B99EC1CE203AEFF84B0DEE84C6FF638DA1A4CCAD5D3088FE245FB9400B74DAAFD5U2H" TargetMode="External"/><Relationship Id="rId31" Type="http://schemas.openxmlformats.org/officeDocument/2006/relationships/hyperlink" Target="consultantplus://offline/ref=313E7ED881B1B4F69134FDACA9D3E81E472E19EBEF2A7520B99EC1CE203AEFF84B0DEE84C6FF668BAEA4CCAD5D3088FE245FB9400B74DAAFD5U2H" TargetMode="External"/><Relationship Id="rId4" Type="http://schemas.openxmlformats.org/officeDocument/2006/relationships/hyperlink" Target="consultantplus://offline/ref=313E7ED881B1B4F69134FDACA9D3E81E462610EFE9257520B99EC1CE203AEFF84B0DEE84C6FF638EAEA4CCAD5D3088FE245FB9400B74DAAFD5U2H" TargetMode="External"/><Relationship Id="rId9" Type="http://schemas.openxmlformats.org/officeDocument/2006/relationships/hyperlink" Target="consultantplus://offline/ref=313E7ED881B1B4F69134FDACA9D3E81E472518EEEA287520B99EC1CE203AEFF84B0DEE84C6FF638DA1A4CCAD5D3088FE245FB9400B74DAAFD5U2H" TargetMode="External"/><Relationship Id="rId14" Type="http://schemas.openxmlformats.org/officeDocument/2006/relationships/hyperlink" Target="consultantplus://offline/ref=313E7ED881B1B4F69134FDACA9D3E81E472E19EBEF2A7520B99EC1CE203AEFF84B0DEE84C6FF668BA1A4CCAD5D3088FE245FB9400B74DAAFD5U2H" TargetMode="External"/><Relationship Id="rId22" Type="http://schemas.openxmlformats.org/officeDocument/2006/relationships/hyperlink" Target="consultantplus://offline/ref=313E7ED881B1B4F69134FDACA9D3E81E452111EAEE2D7520B99EC1CE203AEFF84B0DEE84C6FF6288A1A4CCAD5D3088FE245FB9400B74DAAFD5U2H" TargetMode="External"/><Relationship Id="rId27" Type="http://schemas.openxmlformats.org/officeDocument/2006/relationships/hyperlink" Target="consultantplus://offline/ref=313E7ED881B1B4F69134FDACA9D3E81E472117ECEA2F7520B99EC1CE203AEFF84B0DEE82C3FF6187F3FEDCA9146781E22040A7431574DDU8H" TargetMode="External"/><Relationship Id="rId30" Type="http://schemas.openxmlformats.org/officeDocument/2006/relationships/hyperlink" Target="consultantplus://offline/ref=313E7ED881B1B4F69134FDACA9D3E81E472412EDE22E7520B99EC1CE203AEFF84B0DEE84C6FF6385A4A4CCAD5D3088FE245FB9400B74DAAFD5U2H" TargetMode="External"/><Relationship Id="rId35" Type="http://schemas.openxmlformats.org/officeDocument/2006/relationships/hyperlink" Target="consultantplus://offline/ref=313E7ED881B1B4F69134FDACA9D3E81E472112E1E32A7520B99EC1CE203AEFF84B0DEE84C6FF608FA5A4CCAD5D3088FE245FB9400B74DAAFD5U2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1</cp:revision>
  <dcterms:created xsi:type="dcterms:W3CDTF">2022-01-24T07:20:00Z</dcterms:created>
  <dcterms:modified xsi:type="dcterms:W3CDTF">2022-01-24T07:20:00Z</dcterms:modified>
</cp:coreProperties>
</file>